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173B" w14:textId="367C9BE0" w:rsidR="00BC56CB" w:rsidRPr="00415C53" w:rsidRDefault="00415C53" w:rsidP="00415C53">
      <w:pPr>
        <w:jc w:val="center"/>
        <w:rPr>
          <w:b/>
          <w:sz w:val="32"/>
          <w:szCs w:val="32"/>
          <w:u w:val="single"/>
        </w:rPr>
      </w:pPr>
      <w:r>
        <w:rPr>
          <w:b/>
          <w:sz w:val="32"/>
          <w:szCs w:val="32"/>
          <w:u w:val="single"/>
        </w:rPr>
        <w:t xml:space="preserve">Vocational Major </w:t>
      </w:r>
      <w:r w:rsidR="00133F76" w:rsidRPr="00415C53">
        <w:rPr>
          <w:b/>
          <w:sz w:val="32"/>
          <w:szCs w:val="32"/>
          <w:u w:val="single"/>
        </w:rPr>
        <w:t>Numeracy</w:t>
      </w:r>
    </w:p>
    <w:p w14:paraId="207130B1" w14:textId="77777777" w:rsidR="00133F76" w:rsidRPr="002D45A8" w:rsidRDefault="00133F76" w:rsidP="00133F76">
      <w:pPr>
        <w:pStyle w:val="VCAAbody"/>
        <w:rPr>
          <w:color w:val="000000"/>
          <w:szCs w:val="20"/>
          <w:lang w:val="en-AU"/>
        </w:rPr>
      </w:pPr>
      <w:r w:rsidRPr="002D45A8">
        <w:rPr>
          <w:lang w:val="en-AU"/>
        </w:rPr>
        <w:t xml:space="preserve">VCE Vocational Major </w:t>
      </w:r>
      <w:r w:rsidRPr="002D45A8">
        <w:rPr>
          <w:color w:val="000000"/>
          <w:szCs w:val="20"/>
          <w:lang w:val="en-AU"/>
        </w:rPr>
        <w:t xml:space="preserve">Numeracy focuses on enabling students to develop and enhance their numeracy skills to make sense of their personal, public and vocational lives. Students develop mathematical skills with consideration of their local, national and global environments and contexts, and an awareness and use of appropriate technologies. </w:t>
      </w:r>
    </w:p>
    <w:p w14:paraId="3165AC53" w14:textId="77777777" w:rsidR="000D1766" w:rsidRDefault="00133F76" w:rsidP="00133F76">
      <w:pPr>
        <w:pStyle w:val="VCAAbody"/>
        <w:rPr>
          <w:szCs w:val="20"/>
        </w:rPr>
      </w:pPr>
      <w:r w:rsidRPr="002D45A8">
        <w:rPr>
          <w:lang w:val="en-AU"/>
        </w:rPr>
        <w:t>This study allows students to explore the underpinning mathematical kno</w:t>
      </w:r>
      <w:r w:rsidRPr="002D45A8">
        <w:rPr>
          <w:color w:val="000000"/>
          <w:szCs w:val="20"/>
          <w:lang w:val="en-AU"/>
        </w:rPr>
        <w:t>wledge of number and quantity, measurement, shape, dimensions and directions, data and chance, the understanding and use of systems and processes, and mathematical relationships and thinking. This mathematical knowledge is then applied to tasks which are part of the students’ daily routines and practices, but also extends to applications outside the immediate personal environment, such as the workplace and community.</w:t>
      </w:r>
    </w:p>
    <w:tbl>
      <w:tblPr>
        <w:tblStyle w:val="TableGrid"/>
        <w:tblW w:w="0" w:type="auto"/>
        <w:tblLook w:val="04A0" w:firstRow="1" w:lastRow="0" w:firstColumn="1" w:lastColumn="0" w:noHBand="0" w:noVBand="1"/>
      </w:tblPr>
      <w:tblGrid>
        <w:gridCol w:w="9016"/>
      </w:tblGrid>
      <w:tr w:rsidR="000D1766" w14:paraId="7DA0F82C" w14:textId="77777777" w:rsidTr="000D1766">
        <w:tc>
          <w:tcPr>
            <w:tcW w:w="9016" w:type="dxa"/>
          </w:tcPr>
          <w:p w14:paraId="2490C492" w14:textId="77777777" w:rsidR="004E7288" w:rsidRPr="00120ED5" w:rsidRDefault="004E7288" w:rsidP="00120ED5">
            <w:pPr>
              <w:pStyle w:val="VCAAbody"/>
              <w:rPr>
                <w:b/>
                <w:color w:val="000000"/>
                <w:sz w:val="24"/>
                <w:szCs w:val="20"/>
                <w:u w:val="single"/>
              </w:rPr>
            </w:pPr>
            <w:r w:rsidRPr="00120ED5">
              <w:rPr>
                <w:b/>
                <w:color w:val="000000"/>
                <w:sz w:val="24"/>
                <w:szCs w:val="20"/>
                <w:u w:val="single"/>
              </w:rPr>
              <w:t>Unit</w:t>
            </w:r>
            <w:r w:rsidR="00133F76">
              <w:rPr>
                <w:b/>
                <w:color w:val="000000"/>
                <w:sz w:val="24"/>
                <w:szCs w:val="20"/>
                <w:u w:val="single"/>
              </w:rPr>
              <w:t>s 1 &amp;</w:t>
            </w:r>
            <w:r w:rsidRPr="00120ED5">
              <w:rPr>
                <w:b/>
                <w:color w:val="000000"/>
                <w:sz w:val="24"/>
                <w:szCs w:val="20"/>
                <w:u w:val="single"/>
              </w:rPr>
              <w:t xml:space="preserve"> 2</w:t>
            </w:r>
          </w:p>
          <w:p w14:paraId="60D1D567" w14:textId="77777777" w:rsidR="000635B5" w:rsidRDefault="000635B5" w:rsidP="00133F76">
            <w:pPr>
              <w:pStyle w:val="VCAAbullet"/>
              <w:numPr>
                <w:ilvl w:val="0"/>
                <w:numId w:val="0"/>
              </w:numPr>
              <w:rPr>
                <w:color w:val="000000"/>
                <w:szCs w:val="20"/>
              </w:rPr>
            </w:pPr>
          </w:p>
          <w:p w14:paraId="6CF4AB61" w14:textId="77777777" w:rsidR="00133F76" w:rsidRDefault="001578EB" w:rsidP="001578EB">
            <w:pPr>
              <w:pStyle w:val="VCAAbody"/>
              <w:rPr>
                <w:lang w:val="en-AU"/>
              </w:rPr>
            </w:pPr>
            <w:r>
              <w:rPr>
                <w:color w:val="000000"/>
                <w:szCs w:val="20"/>
                <w:lang w:val="en-AU"/>
              </w:rPr>
              <w:t xml:space="preserve">Outcome 1. </w:t>
            </w:r>
            <w:r w:rsidR="00133F76" w:rsidRPr="002D45A8">
              <w:rPr>
                <w:color w:val="000000"/>
                <w:szCs w:val="20"/>
                <w:lang w:val="en-AU"/>
              </w:rPr>
              <w:t xml:space="preserve">VCE Vocational Major Numeracy </w:t>
            </w:r>
            <w:r w:rsidR="009B52B1">
              <w:rPr>
                <w:lang w:val="en-AU"/>
              </w:rPr>
              <w:t>covers eight Areas of Study across Units 1 and 2</w:t>
            </w:r>
          </w:p>
          <w:p w14:paraId="015F95B6" w14:textId="77777777" w:rsidR="009B52B1" w:rsidRPr="002D45A8" w:rsidRDefault="009B52B1" w:rsidP="009B52B1">
            <w:pPr>
              <w:pStyle w:val="VCAAtabletext"/>
              <w:numPr>
                <w:ilvl w:val="0"/>
                <w:numId w:val="5"/>
              </w:numPr>
              <w:contextualSpacing/>
            </w:pPr>
            <w:r w:rsidRPr="002D45A8">
              <w:t>Area of Study 1: Number</w:t>
            </w:r>
          </w:p>
          <w:p w14:paraId="4AFF2921" w14:textId="77777777" w:rsidR="009B52B1" w:rsidRPr="002D45A8" w:rsidRDefault="009B52B1" w:rsidP="009B52B1">
            <w:pPr>
              <w:pStyle w:val="VCAAtabletext"/>
              <w:numPr>
                <w:ilvl w:val="0"/>
                <w:numId w:val="5"/>
              </w:numPr>
              <w:contextualSpacing/>
            </w:pPr>
            <w:r w:rsidRPr="002D45A8">
              <w:t>Area of Study 2: Shape</w:t>
            </w:r>
          </w:p>
          <w:p w14:paraId="39D9B1CE" w14:textId="77777777" w:rsidR="009B52B1" w:rsidRDefault="009B52B1" w:rsidP="009B52B1">
            <w:pPr>
              <w:pStyle w:val="VCAAtabletext"/>
              <w:numPr>
                <w:ilvl w:val="0"/>
                <w:numId w:val="5"/>
              </w:numPr>
              <w:contextualSpacing/>
            </w:pPr>
            <w:r w:rsidRPr="002D45A8">
              <w:t>Area of Study 3: Quantity and measures</w:t>
            </w:r>
          </w:p>
          <w:p w14:paraId="6F86F078" w14:textId="77777777" w:rsidR="009B52B1" w:rsidRDefault="009B52B1" w:rsidP="009B52B1">
            <w:pPr>
              <w:pStyle w:val="VCAAtabletext"/>
              <w:numPr>
                <w:ilvl w:val="0"/>
                <w:numId w:val="5"/>
              </w:numPr>
              <w:contextualSpacing/>
            </w:pPr>
            <w:r w:rsidRPr="002D45A8">
              <w:t>Area of Study 4: Relationships</w:t>
            </w:r>
          </w:p>
          <w:p w14:paraId="26C4141F" w14:textId="77777777" w:rsidR="009B52B1" w:rsidRPr="002D45A8" w:rsidRDefault="009B52B1" w:rsidP="009B52B1">
            <w:pPr>
              <w:pStyle w:val="VCAAtabletext"/>
              <w:numPr>
                <w:ilvl w:val="0"/>
                <w:numId w:val="5"/>
              </w:numPr>
              <w:contextualSpacing/>
            </w:pPr>
            <w:r w:rsidRPr="002D45A8">
              <w:t>Area of Study 5: Dimension and direction</w:t>
            </w:r>
          </w:p>
          <w:p w14:paraId="4B44ABB9" w14:textId="77777777" w:rsidR="009B52B1" w:rsidRPr="002D45A8" w:rsidRDefault="009B52B1" w:rsidP="009B52B1">
            <w:pPr>
              <w:pStyle w:val="VCAAtabletext"/>
              <w:numPr>
                <w:ilvl w:val="0"/>
                <w:numId w:val="5"/>
              </w:numPr>
              <w:contextualSpacing/>
            </w:pPr>
            <w:r w:rsidRPr="002D45A8">
              <w:t>Area of Study 6: Data</w:t>
            </w:r>
          </w:p>
          <w:p w14:paraId="247CB678" w14:textId="77777777" w:rsidR="009B52B1" w:rsidRPr="002D45A8" w:rsidRDefault="009B52B1" w:rsidP="009B52B1">
            <w:pPr>
              <w:pStyle w:val="VCAAtabletext"/>
              <w:numPr>
                <w:ilvl w:val="0"/>
                <w:numId w:val="5"/>
              </w:numPr>
              <w:contextualSpacing/>
            </w:pPr>
            <w:r w:rsidRPr="002D45A8">
              <w:t>Area of Study 7: Uncertainty</w:t>
            </w:r>
          </w:p>
          <w:p w14:paraId="5F70E066" w14:textId="77777777" w:rsidR="009B52B1" w:rsidRPr="002D45A8" w:rsidRDefault="009B52B1" w:rsidP="009B52B1">
            <w:pPr>
              <w:pStyle w:val="VCAAtabletext"/>
              <w:numPr>
                <w:ilvl w:val="0"/>
                <w:numId w:val="5"/>
              </w:numPr>
              <w:contextualSpacing/>
            </w:pPr>
            <w:r w:rsidRPr="002D45A8">
              <w:t>Area of Study 8: Systematics</w:t>
            </w:r>
          </w:p>
          <w:p w14:paraId="085D9BD9" w14:textId="77777777" w:rsidR="009B52B1" w:rsidRPr="009B52B1" w:rsidRDefault="009B52B1" w:rsidP="009B52B1">
            <w:pPr>
              <w:pStyle w:val="VCAAtabletext"/>
              <w:ind w:left="360"/>
              <w:contextualSpacing/>
            </w:pPr>
          </w:p>
          <w:p w14:paraId="0A3091CD" w14:textId="77777777" w:rsidR="00133F76" w:rsidRPr="00860BE5" w:rsidRDefault="009B52B1" w:rsidP="009B52B1">
            <w:pPr>
              <w:pStyle w:val="VCAAnumbers"/>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425" w:hanging="425"/>
              <w:rPr>
                <w:rFonts w:ascii="Calibri" w:eastAsia="Arial" w:hAnsi="Calibri" w:cs="Calibri"/>
                <w:sz w:val="22"/>
                <w:lang w:val="en-AU"/>
              </w:rPr>
            </w:pPr>
            <w:r w:rsidRPr="00860BE5">
              <w:rPr>
                <w:rFonts w:ascii="Calibri" w:eastAsia="Arial" w:hAnsi="Calibri" w:cs="Calibri"/>
                <w:bCs/>
                <w:sz w:val="22"/>
                <w:lang w:val="en-AU"/>
              </w:rPr>
              <w:t>These Areas of Study are</w:t>
            </w:r>
            <w:r w:rsidRPr="00860BE5">
              <w:rPr>
                <w:rFonts w:ascii="Calibri" w:eastAsia="Arial" w:hAnsi="Calibri" w:cs="Calibri"/>
                <w:b/>
                <w:bCs/>
                <w:sz w:val="22"/>
                <w:lang w:val="en-AU"/>
              </w:rPr>
              <w:t xml:space="preserve"> </w:t>
            </w:r>
            <w:r w:rsidR="00133F76" w:rsidRPr="00860BE5">
              <w:rPr>
                <w:rFonts w:ascii="Calibri" w:eastAsia="Arial" w:hAnsi="Calibri" w:cs="Calibri"/>
                <w:sz w:val="22"/>
                <w:lang w:val="en-AU"/>
              </w:rPr>
              <w:t xml:space="preserve">framed around working mathematically across six different </w:t>
            </w:r>
            <w:r w:rsidR="00133F76" w:rsidRPr="00860BE5">
              <w:rPr>
                <w:rFonts w:ascii="Calibri" w:eastAsia="Arial" w:hAnsi="Calibri" w:cs="Calibri"/>
                <w:b/>
                <w:bCs/>
                <w:sz w:val="22"/>
                <w:lang w:val="en-AU"/>
              </w:rPr>
              <w:t>numeracy contexts</w:t>
            </w:r>
            <w:r w:rsidR="00133F76" w:rsidRPr="00860BE5">
              <w:rPr>
                <w:rFonts w:ascii="Calibri" w:eastAsia="Arial" w:hAnsi="Calibri" w:cs="Calibri"/>
                <w:sz w:val="22"/>
                <w:lang w:val="en-AU"/>
              </w:rPr>
              <w:t xml:space="preserve">: </w:t>
            </w:r>
          </w:p>
          <w:p w14:paraId="04562145" w14:textId="77777777" w:rsidR="00133F76" w:rsidRPr="002D45A8" w:rsidRDefault="00133F76" w:rsidP="00133F76">
            <w:pPr>
              <w:pStyle w:val="VCAAbulle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Personal numeracy</w:t>
            </w:r>
          </w:p>
          <w:p w14:paraId="77470597" w14:textId="77777777" w:rsidR="00133F76" w:rsidRPr="002D45A8" w:rsidRDefault="00133F76" w:rsidP="00133F76">
            <w:pPr>
              <w:pStyle w:val="VCAAbulle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Civic numeracy</w:t>
            </w:r>
          </w:p>
          <w:p w14:paraId="7AAE7487" w14:textId="77777777" w:rsidR="00133F76" w:rsidRPr="002D45A8" w:rsidRDefault="00133F76" w:rsidP="00133F76">
            <w:pPr>
              <w:pStyle w:val="VCAAbulle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Financial numeracy</w:t>
            </w:r>
          </w:p>
          <w:p w14:paraId="11B956DB" w14:textId="77777777" w:rsidR="00133F76" w:rsidRPr="002D45A8" w:rsidRDefault="00133F76" w:rsidP="00133F76">
            <w:pPr>
              <w:pStyle w:val="VCAAbulle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Health numeracy</w:t>
            </w:r>
          </w:p>
          <w:p w14:paraId="0E45D41F" w14:textId="77777777" w:rsidR="00133F76" w:rsidRPr="002D45A8" w:rsidRDefault="00133F76" w:rsidP="00133F76">
            <w:pPr>
              <w:pStyle w:val="VCAAbulle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Vocational numeracy</w:t>
            </w:r>
          </w:p>
          <w:p w14:paraId="27E76475" w14:textId="77777777" w:rsidR="00133F76" w:rsidRPr="002D45A8" w:rsidRDefault="00133F76" w:rsidP="00133F76">
            <w:pPr>
              <w:pStyle w:val="VCAAbulle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Recreational numeracy.</w:t>
            </w:r>
          </w:p>
          <w:p w14:paraId="7305A302" w14:textId="77777777" w:rsidR="00133F76" w:rsidRPr="002D45A8" w:rsidRDefault="00133F76" w:rsidP="001578EB">
            <w:pPr>
              <w:pStyle w:val="VCAAnumbers"/>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425" w:hanging="425"/>
              <w:rPr>
                <w:rFonts w:eastAsia="Arial"/>
                <w:lang w:val="en-AU"/>
              </w:rPr>
            </w:pPr>
            <w:r w:rsidRPr="002D45A8">
              <w:rPr>
                <w:rFonts w:eastAsia="Arial"/>
                <w:b/>
                <w:bCs/>
                <w:lang w:val="en-AU"/>
              </w:rPr>
              <w:t>Outcome 2</w:t>
            </w:r>
            <w:r w:rsidR="001578EB">
              <w:rPr>
                <w:rFonts w:eastAsia="Arial"/>
                <w:b/>
                <w:bCs/>
                <w:lang w:val="en-AU"/>
              </w:rPr>
              <w:t>.</w:t>
            </w:r>
            <w:r w:rsidRPr="002D45A8">
              <w:rPr>
                <w:rFonts w:eastAsia="Arial"/>
                <w:b/>
                <w:bCs/>
                <w:lang w:val="en-AU"/>
              </w:rPr>
              <w:t xml:space="preserve"> </w:t>
            </w:r>
            <w:r w:rsidRPr="002D45A8">
              <w:rPr>
                <w:rFonts w:eastAsia="Arial"/>
                <w:lang w:val="en-AU"/>
              </w:rPr>
              <w:t xml:space="preserve">elaborates and describes a four-stage </w:t>
            </w:r>
            <w:r w:rsidRPr="002D45A8">
              <w:rPr>
                <w:rFonts w:eastAsia="Arial"/>
                <w:b/>
                <w:bCs/>
                <w:lang w:val="en-AU"/>
              </w:rPr>
              <w:t>problem-solving cycle</w:t>
            </w:r>
            <w:r w:rsidRPr="002D45A8">
              <w:rPr>
                <w:rFonts w:eastAsia="Arial"/>
                <w:lang w:val="en-AU"/>
              </w:rPr>
              <w:t xml:space="preserve"> that underpins the capabilities required to solve a mathematical problem embedded in the real world.</w:t>
            </w:r>
          </w:p>
          <w:p w14:paraId="3A4B8102" w14:textId="77777777" w:rsidR="00133F76" w:rsidRDefault="00133F76" w:rsidP="00133F76">
            <w:pPr>
              <w:pStyle w:val="VCAAbullet"/>
              <w:numPr>
                <w:ilvl w:val="0"/>
                <w:numId w:val="0"/>
              </w:numPr>
              <w:rPr>
                <w:color w:val="000000"/>
                <w:szCs w:val="20"/>
              </w:rPr>
            </w:pPr>
            <w:r w:rsidRPr="002D45A8">
              <w:rPr>
                <w:noProof/>
              </w:rPr>
              <w:lastRenderedPageBreak/>
              <w:drawing>
                <wp:anchor distT="0" distB="0" distL="114300" distR="114300" simplePos="0" relativeHeight="251659264" behindDoc="0" locked="0" layoutInCell="1" allowOverlap="1" wp14:anchorId="00EAFD63" wp14:editId="52076ADF">
                  <wp:simplePos x="0" y="0"/>
                  <wp:positionH relativeFrom="column">
                    <wp:posOffset>-114300</wp:posOffset>
                  </wp:positionH>
                  <wp:positionV relativeFrom="paragraph">
                    <wp:posOffset>665480</wp:posOffset>
                  </wp:positionV>
                  <wp:extent cx="5731510" cy="3867785"/>
                  <wp:effectExtent l="0" t="0" r="2540" b="0"/>
                  <wp:wrapTopAndBottom/>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3867785"/>
                          </a:xfrm>
                          <a:prstGeom prst="rect">
                            <a:avLst/>
                          </a:prstGeom>
                        </pic:spPr>
                      </pic:pic>
                    </a:graphicData>
                  </a:graphic>
                </wp:anchor>
              </w:drawing>
            </w:r>
            <w:r w:rsidRPr="002D45A8">
              <w:rPr>
                <w:rFonts w:eastAsia="Arial"/>
                <w:b/>
                <w:bCs/>
                <w:lang w:val="en-AU"/>
              </w:rPr>
              <w:t>Outcome 3</w:t>
            </w:r>
            <w:r w:rsidRPr="002D45A8">
              <w:rPr>
                <w:rFonts w:eastAsia="Arial"/>
                <w:lang w:val="en-AU"/>
              </w:rPr>
              <w:t xml:space="preserve"> </w:t>
            </w:r>
            <w:r>
              <w:rPr>
                <w:rFonts w:eastAsia="Arial"/>
                <w:lang w:val="en-AU"/>
              </w:rPr>
              <w:t>requires</w:t>
            </w:r>
            <w:r w:rsidRPr="002D45A8">
              <w:rPr>
                <w:rFonts w:eastAsia="Arial"/>
                <w:lang w:val="en-AU"/>
              </w:rPr>
              <w:t xml:space="preserve"> students to develop and use a technical </w:t>
            </w:r>
            <w:r w:rsidRPr="002D45A8">
              <w:rPr>
                <w:rFonts w:eastAsia="Arial"/>
                <w:b/>
                <w:bCs/>
                <w:lang w:val="en-AU"/>
              </w:rPr>
              <w:t>mathematical toolkit</w:t>
            </w:r>
            <w:r w:rsidRPr="002D45A8">
              <w:rPr>
                <w:rFonts w:eastAsia="Arial"/>
                <w:lang w:val="en-AU"/>
              </w:rPr>
              <w:t xml:space="preserve"> as they undertake their numeracy activities and tasks. Students should be able to confidently use multiple mathematical tools, both analogue and digital/technological.</w:t>
            </w:r>
          </w:p>
        </w:tc>
      </w:tr>
    </w:tbl>
    <w:p w14:paraId="235DB702" w14:textId="77777777" w:rsidR="00BC56CB" w:rsidRDefault="00BC56CB"/>
    <w:sectPr w:rsidR="00BC5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BA2"/>
    <w:multiLevelType w:val="multilevel"/>
    <w:tmpl w:val="DBA25D54"/>
    <w:lvl w:ilvl="0">
      <w:start w:val="1"/>
      <w:numFmt w:val="bullet"/>
      <w:pStyle w:val="VCAA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695B64"/>
    <w:multiLevelType w:val="hybridMultilevel"/>
    <w:tmpl w:val="4210DEF4"/>
    <w:lvl w:ilvl="0" w:tplc="A0A8F5D2">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4220E8"/>
    <w:multiLevelType w:val="hybridMultilevel"/>
    <w:tmpl w:val="A824EF5E"/>
    <w:lvl w:ilvl="0" w:tplc="35CA186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0D12D646"/>
    <w:lvl w:ilvl="0" w:tplc="8C66A68E">
      <w:start w:val="1"/>
      <w:numFmt w:val="decimal"/>
      <w:lvlText w:val="%1."/>
      <w:lvlJc w:val="left"/>
      <w:pPr>
        <w:ind w:left="360"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8271F9A"/>
    <w:multiLevelType w:val="hybridMultilevel"/>
    <w:tmpl w:val="BA1EBD4A"/>
    <w:lvl w:ilvl="0" w:tplc="FFFFFFFF">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5B3C6C54">
      <w:start w:val="2"/>
      <w:numFmt w:val="decimal"/>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C41CA"/>
    <w:multiLevelType w:val="multilevel"/>
    <w:tmpl w:val="6062F21C"/>
    <w:lvl w:ilvl="0">
      <w:start w:val="1"/>
      <w:numFmt w:val="bullet"/>
      <w:pStyle w:val="VCAA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5640027">
    <w:abstractNumId w:val="0"/>
  </w:num>
  <w:num w:numId="2" w16cid:durableId="1479222814">
    <w:abstractNumId w:val="5"/>
  </w:num>
  <w:num w:numId="3" w16cid:durableId="1121413192">
    <w:abstractNumId w:val="3"/>
  </w:num>
  <w:num w:numId="4" w16cid:durableId="513887851">
    <w:abstractNumId w:val="4"/>
  </w:num>
  <w:num w:numId="5" w16cid:durableId="176434332">
    <w:abstractNumId w:val="2"/>
  </w:num>
  <w:num w:numId="6" w16cid:durableId="1227956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CB"/>
    <w:rsid w:val="000635B5"/>
    <w:rsid w:val="000D1766"/>
    <w:rsid w:val="00120ED5"/>
    <w:rsid w:val="00133F76"/>
    <w:rsid w:val="001578EB"/>
    <w:rsid w:val="00317C17"/>
    <w:rsid w:val="003919D3"/>
    <w:rsid w:val="00415C53"/>
    <w:rsid w:val="004E7288"/>
    <w:rsid w:val="007A0073"/>
    <w:rsid w:val="00860BE5"/>
    <w:rsid w:val="009B52B1"/>
    <w:rsid w:val="00A850D0"/>
    <w:rsid w:val="00BC56CB"/>
    <w:rsid w:val="00EC08D5"/>
    <w:rsid w:val="00F52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78A6"/>
  <w15:chartTrackingRefBased/>
  <w15:docId w15:val="{0E1E10DE-5D17-4293-A271-233098E9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body">
    <w:name w:val="VCAA body"/>
    <w:link w:val="VCAAbodyChar"/>
    <w:qFormat/>
    <w:rsid w:val="000D1766"/>
    <w:pPr>
      <w:spacing w:before="120" w:after="120" w:line="280" w:lineRule="exact"/>
    </w:pPr>
    <w:rPr>
      <w:rFonts w:ascii="Arial" w:eastAsia="Arial" w:hAnsi="Arial" w:cs="Arial"/>
      <w:color w:val="000000" w:themeColor="text1"/>
      <w:sz w:val="20"/>
      <w:lang w:val="en-GB"/>
    </w:rPr>
  </w:style>
  <w:style w:type="character" w:customStyle="1" w:styleId="VCAAbodyChar">
    <w:name w:val="VCAA body Char"/>
    <w:basedOn w:val="DefaultParagraphFont"/>
    <w:link w:val="VCAAbody"/>
    <w:rsid w:val="000D1766"/>
    <w:rPr>
      <w:rFonts w:ascii="Arial" w:eastAsia="Arial" w:hAnsi="Arial" w:cs="Arial"/>
      <w:color w:val="000000" w:themeColor="text1"/>
      <w:sz w:val="20"/>
      <w:lang w:val="en-GB"/>
    </w:rPr>
  </w:style>
  <w:style w:type="table" w:styleId="TableGrid">
    <w:name w:val="Table Grid"/>
    <w:basedOn w:val="TableNormal"/>
    <w:uiPriority w:val="39"/>
    <w:rsid w:val="000D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ullet">
    <w:name w:val="VCAA bullet"/>
    <w:basedOn w:val="VCAAbody"/>
    <w:link w:val="VCAAbulletChar"/>
    <w:autoRedefine/>
    <w:qFormat/>
    <w:rsid w:val="004E7288"/>
    <w:pPr>
      <w:numPr>
        <w:numId w:val="1"/>
      </w:numPr>
      <w:pBdr>
        <w:top w:val="nil"/>
        <w:left w:val="nil"/>
        <w:bottom w:val="nil"/>
        <w:right w:val="nil"/>
        <w:between w:val="nil"/>
        <w:bar w:val="nil"/>
      </w:pBdr>
      <w:tabs>
        <w:tab w:val="clear" w:pos="720"/>
      </w:tabs>
      <w:spacing w:before="60" w:after="60"/>
      <w:ind w:left="425" w:hanging="425"/>
      <w:contextualSpacing/>
    </w:pPr>
    <w:rPr>
      <w:rFonts w:eastAsia="Times New Roman" w:cstheme="minorHAnsi"/>
      <w:kern w:val="22"/>
      <w:lang w:eastAsia="ja-JP"/>
    </w:rPr>
  </w:style>
  <w:style w:type="character" w:customStyle="1" w:styleId="VCAAbulletChar">
    <w:name w:val="VCAA bullet Char"/>
    <w:basedOn w:val="VCAAbodyChar"/>
    <w:link w:val="VCAAbullet"/>
    <w:rsid w:val="004E7288"/>
    <w:rPr>
      <w:rFonts w:ascii="Arial" w:eastAsia="Times New Roman" w:hAnsi="Arial" w:cstheme="minorHAnsi"/>
      <w:color w:val="000000" w:themeColor="text1"/>
      <w:kern w:val="22"/>
      <w:sz w:val="20"/>
      <w:lang w:val="en-GB" w:eastAsia="ja-JP"/>
    </w:rPr>
  </w:style>
  <w:style w:type="paragraph" w:styleId="Title">
    <w:name w:val="Title"/>
    <w:basedOn w:val="Normal"/>
    <w:next w:val="Normal"/>
    <w:link w:val="TitleChar"/>
    <w:uiPriority w:val="10"/>
    <w:qFormat/>
    <w:rsid w:val="00120ED5"/>
    <w:pPr>
      <w:keepNext/>
      <w:keepLines/>
      <w:spacing w:before="480" w:after="120" w:line="276" w:lineRule="auto"/>
    </w:pPr>
    <w:rPr>
      <w:rFonts w:ascii="Arial" w:eastAsia="Arial" w:hAnsi="Arial" w:cs="Arial"/>
      <w:b/>
      <w:sz w:val="72"/>
      <w:szCs w:val="72"/>
      <w:lang w:val="en-GB"/>
    </w:rPr>
  </w:style>
  <w:style w:type="character" w:customStyle="1" w:styleId="TitleChar">
    <w:name w:val="Title Char"/>
    <w:basedOn w:val="DefaultParagraphFont"/>
    <w:link w:val="Title"/>
    <w:uiPriority w:val="10"/>
    <w:rsid w:val="00120ED5"/>
    <w:rPr>
      <w:rFonts w:ascii="Arial" w:eastAsia="Arial" w:hAnsi="Arial" w:cs="Arial"/>
      <w:b/>
      <w:sz w:val="72"/>
      <w:szCs w:val="72"/>
      <w:lang w:val="en-GB"/>
    </w:rPr>
  </w:style>
  <w:style w:type="paragraph" w:styleId="Footer">
    <w:name w:val="footer"/>
    <w:basedOn w:val="Normal"/>
    <w:link w:val="FooterChar"/>
    <w:uiPriority w:val="99"/>
    <w:rsid w:val="00133F76"/>
    <w:pPr>
      <w:tabs>
        <w:tab w:val="center" w:pos="4513"/>
        <w:tab w:val="right" w:pos="9026"/>
      </w:tabs>
      <w:spacing w:after="0" w:line="240" w:lineRule="auto"/>
    </w:pPr>
    <w:rPr>
      <w:rFonts w:ascii="Arial" w:eastAsia="Arial" w:hAnsi="Arial" w:cs="Arial"/>
      <w:lang w:val="en-GB"/>
    </w:rPr>
  </w:style>
  <w:style w:type="character" w:customStyle="1" w:styleId="FooterChar">
    <w:name w:val="Footer Char"/>
    <w:basedOn w:val="DefaultParagraphFont"/>
    <w:link w:val="Footer"/>
    <w:uiPriority w:val="99"/>
    <w:rsid w:val="00133F76"/>
    <w:rPr>
      <w:rFonts w:ascii="Arial" w:eastAsia="Arial" w:hAnsi="Arial" w:cs="Arial"/>
      <w:lang w:val="en-GB"/>
    </w:rPr>
  </w:style>
  <w:style w:type="paragraph" w:customStyle="1" w:styleId="VCAAnumbers">
    <w:name w:val="VCAA numbers"/>
    <w:basedOn w:val="VCAAbullet"/>
    <w:qFormat/>
    <w:rsid w:val="00133F76"/>
    <w:pPr>
      <w:numPr>
        <w:numId w:val="2"/>
      </w:numPr>
      <w:ind w:left="425" w:hanging="425"/>
    </w:pPr>
    <w:rPr>
      <w:rFonts w:asciiTheme="minorHAnsi" w:hAnsiTheme="minorHAnsi"/>
      <w:lang w:val="en-US"/>
    </w:rPr>
  </w:style>
  <w:style w:type="paragraph" w:customStyle="1" w:styleId="VCAAtabletext">
    <w:name w:val="VCAA table text"/>
    <w:basedOn w:val="Normal"/>
    <w:link w:val="VCAAtabletextChar"/>
    <w:qFormat/>
    <w:rsid w:val="009B52B1"/>
    <w:pPr>
      <w:spacing w:before="80" w:after="80" w:line="280" w:lineRule="exact"/>
    </w:pPr>
    <w:rPr>
      <w:rFonts w:ascii="Arial" w:hAnsi="Arial" w:cs="Arial"/>
      <w:color w:val="000000" w:themeColor="text1"/>
      <w:sz w:val="20"/>
    </w:rPr>
  </w:style>
  <w:style w:type="character" w:customStyle="1" w:styleId="VCAAtabletextChar">
    <w:name w:val="VCAA table text Char"/>
    <w:basedOn w:val="DefaultParagraphFont"/>
    <w:link w:val="VCAAtabletext"/>
    <w:rsid w:val="009B52B1"/>
    <w:rPr>
      <w:rFonts w:ascii="Arial" w:hAnsi="Arial"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998</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Ovens</dc:creator>
  <cp:keywords/>
  <dc:description/>
  <cp:lastModifiedBy>James Curtis</cp:lastModifiedBy>
  <cp:revision>5</cp:revision>
  <dcterms:created xsi:type="dcterms:W3CDTF">2023-02-28T05:17:00Z</dcterms:created>
  <dcterms:modified xsi:type="dcterms:W3CDTF">2024-06-20T00:20:00Z</dcterms:modified>
</cp:coreProperties>
</file>